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 1. zasedání Zastupitelstva obce v Janově nad Nisou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28. ledna 2026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 1/2026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Lucida Sans Unicode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2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>ZO Janov nad Nisou schvaluje střednědobí výhled rozpočtu na roky 2026-2028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2/2026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>ZO Janov nad Nisou bere na vědomí rozpočtová opatření č. 6/2025, která byla provedena na konci roku 2025 dle usnesení č. 84/2025</w:t>
        <w:tab/>
        <w:tab/>
        <w:tab/>
        <w:tab/>
        <w:tab/>
      </w:r>
    </w:p>
    <w:p>
      <w:pPr>
        <w:pStyle w:val="Normal"/>
        <w:spacing w:lineRule="atLeast" w:line="100"/>
        <w:jc w:val="both"/>
        <w:rPr>
          <w:rFonts w:ascii="Times New Roman" w:hAnsi="Times New Roman" w:eastAsia="Times New Roman" w:cs="Times New Roman"/>
          <w:b/>
          <w:i/>
          <w:i/>
          <w:color w:val="000000"/>
          <w:sz w:val="24"/>
          <w:szCs w:val="24"/>
          <w:lang w:eastAsia="zxx" w:bidi="zxx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eastAsia="zxx" w:bidi="zxx"/>
        </w:rPr>
        <w:t xml:space="preserve">   </w:t>
      </w:r>
    </w:p>
    <w:tbl>
      <w:tblPr>
        <w:tblW w:w="11053" w:type="dxa"/>
        <w:jc w:val="start"/>
        <w:tblInd w:w="0" w:type="dxa"/>
        <w:tblLayout w:type="fixed"/>
        <w:tblCellMar>
          <w:top w:w="14" w:type="dxa"/>
          <w:start w:w="40" w:type="dxa"/>
          <w:bottom w:w="14" w:type="dxa"/>
          <w:end w:w="40" w:type="dxa"/>
        </w:tblCellMar>
        <w:tblLook w:firstRow="0" w:noVBand="0" w:lastRow="0" w:firstColumn="0" w:lastColumn="0" w:noHBand="0" w:val="0000"/>
      </w:tblPr>
      <w:tblGrid>
        <w:gridCol w:w="221"/>
        <w:gridCol w:w="442"/>
        <w:gridCol w:w="442"/>
        <w:gridCol w:w="329"/>
        <w:gridCol w:w="555"/>
        <w:gridCol w:w="220"/>
        <w:gridCol w:w="333"/>
        <w:gridCol w:w="884"/>
        <w:gridCol w:w="1103"/>
        <w:gridCol w:w="1217"/>
        <w:gridCol w:w="1217"/>
        <w:gridCol w:w="1216"/>
        <w:gridCol w:w="2873"/>
      </w:tblGrid>
      <w:tr>
        <w:trPr>
          <w:cantSplit w:val="true"/>
        </w:trPr>
        <w:tc>
          <w:tcPr>
            <w:tcW w:w="1989" w:type="dxa"/>
            <w:gridSpan w:val="5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i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Název rozpočtového opatření:</w:t>
            </w:r>
          </w:p>
        </w:tc>
        <w:tc>
          <w:tcPr>
            <w:tcW w:w="9063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6/2025</w:t>
            </w:r>
          </w:p>
        </w:tc>
      </w:tr>
      <w:tr>
        <w:trPr>
          <w:cantSplit w:val="true"/>
        </w:trPr>
        <w:tc>
          <w:tcPr>
            <w:tcW w:w="1989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i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Popis rozpočtového opatření:</w:t>
            </w:r>
          </w:p>
        </w:tc>
        <w:tc>
          <w:tcPr>
            <w:tcW w:w="9063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</w:r>
          </w:p>
        </w:tc>
      </w:tr>
      <w:tr>
        <w:trPr>
          <w:cantSplit w:val="true"/>
        </w:trPr>
        <w:tc>
          <w:tcPr>
            <w:tcW w:w="11052" w:type="dxa"/>
            <w:gridSpan w:val="13"/>
            <w:tcBorders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11052" w:type="dxa"/>
            <w:gridSpan w:val="13"/>
            <w:tcBorders>
              <w:top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25"/>
              </w:rPr>
            </w:pPr>
            <w:r>
              <w:rPr>
                <w:rFonts w:ascii="Calibri" w:hAnsi="Calibri"/>
                <w:b/>
                <w:sz w:val="25"/>
              </w:rPr>
              <w:t>PŘÍJMY</w:t>
            </w:r>
          </w:p>
        </w:tc>
      </w:tr>
      <w:tr>
        <w:trPr>
          <w:cantSplit w:val="true"/>
        </w:trPr>
        <w:tc>
          <w:tcPr>
            <w:tcW w:w="221" w:type="dxa"/>
            <w:tcBorders>
              <w:bottom w:val="single" w:sz="6" w:space="0" w:color="000000"/>
            </w:tcBorders>
            <w:tcMar>
              <w:top w:w="34" w:type="dxa"/>
              <w:start w:w="0" w:type="dxa"/>
              <w:bottom w:w="34" w:type="dxa"/>
              <w:end w:w="0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  <w:tc>
          <w:tcPr>
            <w:tcW w:w="442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OdPa</w:t>
            </w:r>
          </w:p>
        </w:tc>
        <w:tc>
          <w:tcPr>
            <w:tcW w:w="442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Pol</w:t>
            </w:r>
          </w:p>
        </w:tc>
        <w:tc>
          <w:tcPr>
            <w:tcW w:w="329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ZJ</w:t>
            </w:r>
          </w:p>
        </w:tc>
        <w:tc>
          <w:tcPr>
            <w:tcW w:w="775" w:type="dxa"/>
            <w:gridSpan w:val="2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Uz</w:t>
            </w:r>
          </w:p>
        </w:tc>
        <w:tc>
          <w:tcPr>
            <w:tcW w:w="333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Mu</w:t>
            </w:r>
          </w:p>
        </w:tc>
        <w:tc>
          <w:tcPr>
            <w:tcW w:w="884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Orj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Org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  <w:tc>
          <w:tcPr>
            <w:tcW w:w="1217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Změna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  <w:tc>
          <w:tcPr>
            <w:tcW w:w="2873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1111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583 000,00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1112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105 500,00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1113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75 500,00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4)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1121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1 369 100,00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5)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1211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1 115 000,00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6)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1342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24 100,00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7)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1345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26 300,00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8)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1381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2 371,09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9)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1511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391 000,00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10)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4121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83 200,00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11)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1039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2111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103 000,00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12)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3612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2212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210 000,00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13)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3613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2132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3 200,00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14)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3632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2139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2 100,00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15)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3639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2131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40 200,00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16)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3722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2112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3 200,00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17)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5311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2212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18)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6171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2112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1 300,00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19)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6171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2321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2 125,00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4529" w:type="dxa"/>
            <w:gridSpan w:val="9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PŘÍJMY celkem</w:t>
            </w:r>
          </w:p>
        </w:tc>
        <w:tc>
          <w:tcPr>
            <w:tcW w:w="1217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</w:r>
          </w:p>
        </w:tc>
        <w:tc>
          <w:tcPr>
            <w:tcW w:w="1217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 </w:t>
            </w:r>
            <w:r>
              <w:rPr>
                <w:rFonts w:ascii="Calibri" w:hAnsi="Calibri"/>
                <w:b/>
                <w:sz w:val="14"/>
              </w:rPr>
              <w:t>4 142 196,09</w:t>
            </w:r>
          </w:p>
        </w:tc>
        <w:tc>
          <w:tcPr>
            <w:tcW w:w="1216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</w:r>
          </w:p>
        </w:tc>
        <w:tc>
          <w:tcPr>
            <w:tcW w:w="2873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</w:r>
          </w:p>
        </w:tc>
      </w:tr>
      <w:tr>
        <w:trPr>
          <w:cantSplit w:val="true"/>
        </w:trPr>
        <w:tc>
          <w:tcPr>
            <w:tcW w:w="11052" w:type="dxa"/>
            <w:gridSpan w:val="13"/>
            <w:tcBorders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1052" w:type="dxa"/>
            <w:gridSpan w:val="13"/>
            <w:tcBorders>
              <w:top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25"/>
              </w:rPr>
            </w:pPr>
            <w:r>
              <w:rPr>
                <w:rFonts w:ascii="Calibri" w:hAnsi="Calibri"/>
                <w:b/>
                <w:sz w:val="25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>
              <w:bottom w:val="single" w:sz="6" w:space="0" w:color="000000"/>
            </w:tcBorders>
            <w:tcMar>
              <w:top w:w="34" w:type="dxa"/>
              <w:start w:w="0" w:type="dxa"/>
              <w:bottom w:w="34" w:type="dxa"/>
              <w:end w:w="0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  <w:tc>
          <w:tcPr>
            <w:tcW w:w="442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OdPa</w:t>
            </w:r>
          </w:p>
        </w:tc>
        <w:tc>
          <w:tcPr>
            <w:tcW w:w="442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Pol</w:t>
            </w:r>
          </w:p>
        </w:tc>
        <w:tc>
          <w:tcPr>
            <w:tcW w:w="329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ZJ</w:t>
            </w:r>
          </w:p>
        </w:tc>
        <w:tc>
          <w:tcPr>
            <w:tcW w:w="775" w:type="dxa"/>
            <w:gridSpan w:val="2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Uz</w:t>
            </w:r>
          </w:p>
        </w:tc>
        <w:tc>
          <w:tcPr>
            <w:tcW w:w="333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Mu</w:t>
            </w:r>
          </w:p>
        </w:tc>
        <w:tc>
          <w:tcPr>
            <w:tcW w:w="884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Orj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Org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  <w:tc>
          <w:tcPr>
            <w:tcW w:w="1217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Změna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  <w:tc>
          <w:tcPr>
            <w:tcW w:w="2873" w:type="dxa"/>
            <w:tcBorders>
              <w:bottom w:val="single" w:sz="6" w:space="0" w:color="000000"/>
            </w:tcBorders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i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20)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2212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5137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6 000,00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21)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2310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6119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246 961,00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22)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2310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6121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color w:val="FF0000"/>
                <w:sz w:val="14"/>
              </w:rPr>
            </w:pPr>
            <w:r>
              <w:rPr>
                <w:rFonts w:ascii="Calibri" w:hAnsi="Calibri"/>
                <w:color w:val="FF0000"/>
                <w:sz w:val="14"/>
              </w:rPr>
              <w:t>-246 961 ,00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23)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2321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5169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23 000,00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24)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3319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5194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2 300,00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25)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3612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5151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3 000,00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26)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3639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6130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64 674,20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27)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3722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5169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53 000,00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28)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3745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5137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14 700,00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29)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5512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5169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7 000,00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30)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5512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5171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color w:val="FF0000"/>
                <w:sz w:val="14"/>
              </w:rPr>
            </w:pPr>
            <w:r>
              <w:rPr>
                <w:rFonts w:ascii="Calibri" w:hAnsi="Calibri"/>
                <w:color w:val="FF0000"/>
                <w:sz w:val="14"/>
              </w:rPr>
              <w:t>-7 000 ,00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31)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6171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5151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5 500,00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32)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6171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5154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25 700,00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33)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6171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6121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3 942 521,89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34)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6310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5163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1 800,00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35)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6409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5219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5 000,00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36)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6409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5221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9 300,00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37)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6409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5222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 </w:t>
            </w:r>
            <w:r>
              <w:rPr>
                <w:rFonts w:ascii="Calibri" w:hAnsi="Calibri"/>
                <w:sz w:val="14"/>
              </w:rPr>
              <w:t>4 900,00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221" w:type="dxa"/>
            <w:tcBorders/>
            <w:tcMar>
              <w:top w:w="34" w:type="dxa"/>
              <w:start w:w="0" w:type="dxa"/>
              <w:bottom w:w="34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38)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6409</w:t>
            </w:r>
          </w:p>
        </w:tc>
        <w:tc>
          <w:tcPr>
            <w:tcW w:w="442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5229</w:t>
            </w:r>
          </w:p>
        </w:tc>
        <w:tc>
          <w:tcPr>
            <w:tcW w:w="329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775" w:type="dxa"/>
            <w:gridSpan w:val="2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33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884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10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1217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color w:val="FF0000"/>
                <w:sz w:val="14"/>
              </w:rPr>
            </w:pPr>
            <w:r>
              <w:rPr>
                <w:rFonts w:ascii="Calibri" w:hAnsi="Calibri"/>
                <w:color w:val="FF0000"/>
                <w:sz w:val="14"/>
              </w:rPr>
              <w:t>-19 200 ,00</w:t>
            </w:r>
          </w:p>
        </w:tc>
        <w:tc>
          <w:tcPr>
            <w:tcW w:w="1216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  <w:tc>
          <w:tcPr>
            <w:tcW w:w="2873" w:type="dxa"/>
            <w:tcBorders/>
            <w:tcMar>
              <w:top w:w="34" w:type="dxa"/>
              <w:bottom w:w="3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</w:r>
          </w:p>
        </w:tc>
      </w:tr>
      <w:tr>
        <w:trPr>
          <w:cantSplit w:val="true"/>
        </w:trPr>
        <w:tc>
          <w:tcPr>
            <w:tcW w:w="4529" w:type="dxa"/>
            <w:gridSpan w:val="9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VÝDAJE celkem</w:t>
            </w:r>
          </w:p>
        </w:tc>
        <w:tc>
          <w:tcPr>
            <w:tcW w:w="1217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</w:r>
          </w:p>
        </w:tc>
        <w:tc>
          <w:tcPr>
            <w:tcW w:w="1217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 </w:t>
            </w:r>
            <w:r>
              <w:rPr>
                <w:rFonts w:ascii="Calibri" w:hAnsi="Calibri"/>
                <w:b/>
                <w:sz w:val="14"/>
              </w:rPr>
              <w:t>4 142 196,09</w:t>
            </w:r>
          </w:p>
        </w:tc>
        <w:tc>
          <w:tcPr>
            <w:tcW w:w="1216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</w:r>
          </w:p>
        </w:tc>
        <w:tc>
          <w:tcPr>
            <w:tcW w:w="2873" w:type="dxa"/>
            <w:tcBorders/>
            <w:shd w:color="auto" w:fill="DBDBDB" w:val="clear"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</w:r>
          </w:p>
        </w:tc>
      </w:tr>
      <w:tr>
        <w:trPr>
          <w:cantSplit w:val="true"/>
        </w:trPr>
        <w:tc>
          <w:tcPr>
            <w:tcW w:w="11052" w:type="dxa"/>
            <w:gridSpan w:val="13"/>
            <w:tcBorders/>
            <w:tcMar>
              <w:top w:w="34" w:type="dxa"/>
              <w:bottom w:w="34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</w:r>
          </w:p>
        </w:tc>
      </w:tr>
    </w:tbl>
    <w:p>
      <w:pPr>
        <w:pStyle w:val="Normal"/>
        <w:spacing w:lineRule="atLeast" w:line="100"/>
        <w:jc w:val="both"/>
        <w:rPr>
          <w:rFonts w:ascii="Times New Roman" w:hAnsi="Times New Roman" w:eastAsia="Times New Roman" w:cs="Times New Roman"/>
          <w:b/>
          <w:i/>
          <w:i/>
          <w:color w:val="000000"/>
          <w:sz w:val="24"/>
          <w:szCs w:val="24"/>
          <w:lang w:eastAsia="zxx" w:bidi="zxx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zxx" w:bidi="zxx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3/2026</w:t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Z</w:t>
      </w:r>
      <w:r>
        <w:rPr>
          <w:rFonts w:ascii="Times New Roman" w:hAnsi="Times New Roman"/>
          <w:b w:val="false"/>
          <w:bCs w:val="false"/>
          <w:sz w:val="24"/>
          <w:szCs w:val="24"/>
        </w:rPr>
        <w:t>astupitelstvo obce Janov nad Nisou schvaluje rozpočet na rok 2026 jako schodkový.</w:t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Takto schválený rozpočet představuje: </w:t>
      </w:r>
    </w:p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Takto schválený rozpočet představuje: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příjmy celkem:</w:t>
        <w:tab/>
        <w:tab/>
        <w:t>44 467 475 Kč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výdaje celkem:</w:t>
        <w:tab/>
        <w:tab/>
        <w:t>84 612 969,28 Kč</w:t>
      </w:r>
    </w:p>
    <w:p>
      <w:pPr>
        <w:pStyle w:val="Normal"/>
        <w:spacing w:lineRule="auto" w:line="240"/>
        <w:ind w:firstLine="708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financování</w:t>
        <w:tab/>
        <w:t>+ 40 145 494,28 Kč</w:t>
      </w:r>
    </w:p>
    <w:p>
      <w:pPr>
        <w:pStyle w:val="Normal"/>
        <w:spacing w:lineRule="auto" w:line="240"/>
        <w:ind w:firstLine="708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v tom:</w:t>
        <w:tab/>
        <w:tab/>
        <w:t xml:space="preserve">zapojení prostředků minulých let </w:t>
        <w:tab/>
        <w:t xml:space="preserve">(pol. 8115) </w:t>
        <w:tab/>
        <w:t>+ 40 145 494,28 Kč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4/2026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cs-CZ"/>
        </w:rPr>
        <w:t>ZO Janov nad Nisou schvaluje „Pravidla pro poskytování finančních příspěvků z rozpočtu obce Janov na Nisou 2026“.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5/2026</w:t>
      </w:r>
    </w:p>
    <w:p>
      <w:pPr>
        <w:pStyle w:val="Normal"/>
        <w:widowControl w:val="false"/>
        <w:suppressAutoHyphens w:val="true"/>
        <w:bidi w:val="0"/>
        <w:spacing w:lineRule="auto" w:line="240" w:before="0" w:after="120"/>
        <w:ind w:hanging="60" w:start="15" w:end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ar-SA"/>
        </w:rPr>
        <w:t>ZO Janov nad Nisou schvaluje podmínky a Vyhlášení programu k předkládání žádostí o dotaci včetně povinných příloh k předkládání žádostí na rok 2026 – Volnočasové aktivity v Janově nad Nisou 2026 s předpokládanou částkou k rozdělení ve výši  95.000,- Kč.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6/2026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cs-CZ"/>
        </w:rPr>
        <w:t xml:space="preserve">ZO Janov nad Nisou schvaluje podmínky a vyhlášení programu k předkládání žádostí o příspěvek včetně povinných příloh k předkládání žádosti na rok 2026 „Podpora činnosti NNO v Janově nad Nisou 2026" s předpokládanou částkou k </w:t>
      </w:r>
      <w:r>
        <w:rPr>
          <w:rFonts w:ascii="Times New Roman" w:hAnsi="Times New Roman"/>
          <w:b w:val="false"/>
          <w:bCs w:val="false"/>
          <w:sz w:val="24"/>
          <w:szCs w:val="24"/>
          <w:lang w:eastAsia="cs-CZ"/>
        </w:rPr>
        <w:t>rozdělení ve výš i 95.000,-Kč.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7/2026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ZO Janov nad Nisou určuje, že výkon funkce starosty obce bude členem zastupitelstva obce vykonávána jako neuvolněná s účinností od 1.2.2026.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8/2026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ZO Janov nad Nisou v souladu s § 72 a § 84 odst. 2 písm. n) zákona o obcích stanovuje odměnu za výkon funkce starosty jako neuvolněného člena zastupitelstva obce ve výši  50.603,-  Kč měsíčně. Odměna bude poskytována ode dne 1.2.2026.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9/2026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ZO Janov nad Nisou schvaluje dle pravidel daných v ust. § 81a zákona o obcích proplacení nevyčerpané letošní dovolené starostovi obce, důvodem je přechod z uvolněného člena zastupitelstva obce na neuvolněného člena zastupitelstva obce.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10/2026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bere na vědomí Akční plán na rok 2026 k 5. komunitnímu plánu sociálních a navazujících služeb ORP Jablonec nad Nisou na období 2025–2028.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11/2026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schvaluje Smlouvu o příspěvku na spolufinancování sociálních služeb ORP Jablonec nad Nisou na rok 2026 a pověřuje starostu obce k podpisu smlouvy.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>starosta                                                                      místostarostka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Mgr. Daniel David                                                          Renata Mádlová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Výchozí_styl_stránk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Výchozí_styl_stránk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cs-CZ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LibreOffice/24.2.7.2$Windows_X86_64 LibreOffice_project/ee3885777aa7032db5a9b65deec9457448a91162</Application>
  <AppVersion>15.0000</AppVersion>
  <Pages>3</Pages>
  <Words>607</Words>
  <Characters>2885</Characters>
  <CharactersWithSpaces>3522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2026-02-02T15:08:17Z</dcterms:created>
  <dc:creator/>
  <dc:description/>
  <dc:language>cs-CZ</dc:language>
  <cp:lastModifiedBy/>
  <cp:lastPrinted>2026-02-05T09:50:10Z</cp:lastPrinted>
  <dcterms:modified xsi:type="dcterms:W3CDTF">2026-02-09T15:33:06Z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